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48"/>
          <w:szCs w:val="48"/>
          <w14:ligatures w14:val="none"/>
        </w:rPr>
      </w:pPr>
      <w:r w:rsidRPr="00C066B5">
        <w:rPr>
          <w:rFonts w:ascii="Arial" w:eastAsia="Times New Roman" w:hAnsi="Arial" w:cs="Arial"/>
          <w:color w:val="000000" w:themeColor="text1"/>
          <w:kern w:val="0"/>
          <w:sz w:val="48"/>
          <w:szCs w:val="48"/>
          <w14:ligatures w14:val="none"/>
        </w:rPr>
        <w:t>Southeast Regional Position after Stakeholder Consultations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Following extensive consultations across selected Local Government Areas within the three Senatorial Zones of the state, the Southeast region has reached a consensus on key demands to </w:t>
      </w:r>
      <w:proofErr w:type="gramStart"/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be refle</w:t>
      </w:r>
      <w:bookmarkStart w:id="0" w:name="_GoBack"/>
      <w:bookmarkEnd w:id="0"/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cted</w:t>
      </w:r>
      <w:proofErr w:type="gramEnd"/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in the proposed new constitution. These include: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a. Establishment of State or Regional Police: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Southeast strongly supports the creation of state or regional police structures to enhance security and respond more effectively to local realities.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b. Resource Control: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There is a firm demand for regional control and management of natural resources, with appropriate contributions to the center—ensuring equity and encouraging development at the grassroots.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c. Creation of an Additional State: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Southeast insists on the creation of one more state in the region to bring parity with other geopolitical zones and promote balanced representation in the federation.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d. Devolution of Powers: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Southeast is calling for genuine devolution of powers from the federal government to the federating units, allowing them greater autonomy and responsibility in critical areas of governance.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e. Substantive Recognition and Empowerment of Women: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region seeks more than token acknowledgment of women—it prays for meaningful representation, inclusion, and empowerment of women in governance, policy-making, and development processes.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f. Review of Revenue Allocation Formula: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The Southeast region strongly recommends a comprehensive review and overhaul of the current revenue allocation formula to ensure fairness, justice, and equity among all regions.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proofErr w:type="gramStart"/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Chairman</w:t>
      </w:r>
      <w:proofErr w:type="gramEnd"/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advocacy committee southeast </w:t>
      </w:r>
    </w:p>
    <w:p w:rsidR="00C066B5" w:rsidRPr="00C066B5" w:rsidRDefault="00C066B5" w:rsidP="00C06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C066B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Patriot</w:t>
      </w:r>
    </w:p>
    <w:p w:rsidR="00B723F2" w:rsidRPr="00C066B5" w:rsidRDefault="00B723F2"/>
    <w:sectPr w:rsidR="00B723F2" w:rsidRPr="00C0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B5"/>
    <w:rsid w:val="00717461"/>
    <w:rsid w:val="008A3EC8"/>
    <w:rsid w:val="00B723F2"/>
    <w:rsid w:val="00C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64A2A-7AE7-41EB-9EF5-0061BC73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2025-07-17T09:51:00Z</dcterms:created>
  <dcterms:modified xsi:type="dcterms:W3CDTF">2025-07-17T10:31:00Z</dcterms:modified>
</cp:coreProperties>
</file>